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79F437" w14:textId="77777777" w:rsidR="007C6471" w:rsidRPr="006F7CC6" w:rsidRDefault="007C6471" w:rsidP="007C6471">
      <w:pPr>
        <w:pStyle w:val="MStitle"/>
        <w:jc w:val="center"/>
      </w:pPr>
      <w:r w:rsidRPr="008C7DBD">
        <w:t>Supplemental Material</w:t>
      </w:r>
    </w:p>
    <w:p w14:paraId="309A9C47" w14:textId="77777777" w:rsidR="007C6471" w:rsidRPr="002D106B" w:rsidRDefault="007C6471" w:rsidP="007C6471">
      <w:pPr>
        <w:pStyle w:val="MStitle"/>
        <w:rPr>
          <w:lang w:val="en-US"/>
        </w:rPr>
      </w:pPr>
      <w:r w:rsidRPr="002D106B">
        <w:rPr>
          <w:lang w:val="en-US"/>
        </w:rPr>
        <w:t>Energetic near-inertial waves induced by winter storms and mesoscale eddies in the subtropical Northwestern Pacific Ocean</w:t>
      </w:r>
    </w:p>
    <w:p w14:paraId="366A0F68" w14:textId="77777777" w:rsidR="007C6471" w:rsidRPr="002D106B" w:rsidRDefault="007C6471" w:rsidP="007C6471">
      <w:pPr>
        <w:pStyle w:val="Authors"/>
        <w:rPr>
          <w:lang w:val="en-US"/>
        </w:rPr>
      </w:pPr>
      <w:proofErr w:type="spellStart"/>
      <w:r w:rsidRPr="002D106B">
        <w:rPr>
          <w:rFonts w:hint="eastAsia"/>
          <w:lang w:val="en-US"/>
        </w:rPr>
        <w:t>Hongkai</w:t>
      </w:r>
      <w:proofErr w:type="spellEnd"/>
      <w:r w:rsidRPr="002D106B">
        <w:rPr>
          <w:rFonts w:hint="eastAsia"/>
          <w:lang w:val="en-US"/>
        </w:rPr>
        <w:t xml:space="preserve"> Wang</w:t>
      </w:r>
      <w:r>
        <w:rPr>
          <w:vertAlign w:val="superscript"/>
          <w:lang w:val="en-US"/>
        </w:rPr>
        <w:t>1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2</w:t>
      </w:r>
      <w:r w:rsidRPr="002D106B">
        <w:rPr>
          <w:lang w:val="en-US"/>
        </w:rPr>
        <w:t xml:space="preserve">, </w:t>
      </w:r>
      <w:proofErr w:type="spellStart"/>
      <w:r w:rsidRPr="002D106B">
        <w:rPr>
          <w:rFonts w:hint="eastAsia"/>
          <w:lang w:val="en-US"/>
        </w:rPr>
        <w:t>Zifei</w:t>
      </w:r>
      <w:proofErr w:type="spellEnd"/>
      <w:r w:rsidRPr="002D106B">
        <w:rPr>
          <w:rFonts w:hint="eastAsia"/>
          <w:lang w:val="en-US"/>
        </w:rPr>
        <w:t xml:space="preserve"> Chen</w:t>
      </w:r>
      <w:r>
        <w:rPr>
          <w:vertAlign w:val="superscript"/>
          <w:lang w:val="en-US"/>
        </w:rPr>
        <w:t>1</w:t>
      </w:r>
      <w:r w:rsidRPr="002D106B">
        <w:rPr>
          <w:lang w:val="en-US"/>
        </w:rPr>
        <w:t>,</w:t>
      </w:r>
      <w:r w:rsidRPr="002D106B">
        <w:rPr>
          <w:rFonts w:hint="eastAsia"/>
          <w:lang w:val="en-US"/>
        </w:rPr>
        <w:t xml:space="preserve"> Xinyuan Diao</w:t>
      </w:r>
      <w:r>
        <w:rPr>
          <w:vertAlign w:val="superscript"/>
          <w:lang w:val="en-US"/>
        </w:rPr>
        <w:t>1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2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3</w:t>
      </w:r>
      <w:r w:rsidRPr="002D106B">
        <w:rPr>
          <w:rFonts w:hint="eastAsia"/>
          <w:lang w:val="en-US"/>
        </w:rPr>
        <w:t>, Fei Yu</w:t>
      </w:r>
      <w:r w:rsidRPr="002D106B">
        <w:rPr>
          <w:vertAlign w:val="superscript"/>
          <w:lang w:val="en-US"/>
        </w:rPr>
        <w:t xml:space="preserve"> </w:t>
      </w:r>
      <w:r>
        <w:rPr>
          <w:vertAlign w:val="superscript"/>
          <w:lang w:val="en-US"/>
        </w:rPr>
        <w:t>1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2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3</w:t>
      </w:r>
      <w:r w:rsidRPr="002D106B">
        <w:rPr>
          <w:lang w:val="en-US"/>
        </w:rPr>
        <w:t xml:space="preserve">, </w:t>
      </w:r>
      <w:proofErr w:type="spellStart"/>
      <w:r w:rsidRPr="002D106B">
        <w:rPr>
          <w:rFonts w:hint="eastAsia"/>
          <w:lang w:val="en-US"/>
        </w:rPr>
        <w:t>Xingchuan</w:t>
      </w:r>
      <w:proofErr w:type="spellEnd"/>
      <w:r w:rsidRPr="002D106B">
        <w:rPr>
          <w:rFonts w:hint="eastAsia"/>
          <w:lang w:val="en-US"/>
        </w:rPr>
        <w:t xml:space="preserve"> Liu</w:t>
      </w:r>
      <w:r>
        <w:rPr>
          <w:vertAlign w:val="superscript"/>
          <w:lang w:val="en-US"/>
        </w:rPr>
        <w:t>1</w:t>
      </w:r>
      <w:r w:rsidRPr="002D106B">
        <w:rPr>
          <w:lang w:val="en-US"/>
        </w:rPr>
        <w:t xml:space="preserve">, </w:t>
      </w:r>
      <w:proofErr w:type="spellStart"/>
      <w:r w:rsidRPr="002D106B">
        <w:rPr>
          <w:rFonts w:hint="eastAsia"/>
          <w:lang w:val="en-US"/>
        </w:rPr>
        <w:t>Qiang</w:t>
      </w:r>
      <w:proofErr w:type="spellEnd"/>
      <w:r w:rsidRPr="002D106B">
        <w:rPr>
          <w:rFonts w:hint="eastAsia"/>
          <w:lang w:val="en-US"/>
        </w:rPr>
        <w:t xml:space="preserve"> Ren</w:t>
      </w:r>
      <w:r>
        <w:rPr>
          <w:vertAlign w:val="superscript"/>
          <w:lang w:val="en-US"/>
        </w:rPr>
        <w:t>1</w:t>
      </w:r>
      <w:r w:rsidRPr="002D106B">
        <w:rPr>
          <w:lang w:val="en-US"/>
        </w:rPr>
        <w:t xml:space="preserve">, </w:t>
      </w:r>
      <w:r w:rsidRPr="002D106B">
        <w:rPr>
          <w:rFonts w:hint="eastAsia"/>
          <w:lang w:val="en-US"/>
        </w:rPr>
        <w:t>Feng Nan</w:t>
      </w:r>
      <w:r>
        <w:rPr>
          <w:vertAlign w:val="superscript"/>
          <w:lang w:val="en-US"/>
        </w:rPr>
        <w:t>1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2</w:t>
      </w:r>
      <w:r w:rsidRPr="002D106B">
        <w:rPr>
          <w:vertAlign w:val="superscript"/>
          <w:lang w:val="en-US"/>
        </w:rPr>
        <w:t>,</w:t>
      </w:r>
      <w:r>
        <w:rPr>
          <w:vertAlign w:val="superscript"/>
          <w:lang w:val="en-US"/>
        </w:rPr>
        <w:t>3</w:t>
      </w:r>
    </w:p>
    <w:p w14:paraId="1DDDEACA" w14:textId="77777777" w:rsidR="007C6471" w:rsidRPr="002D106B" w:rsidRDefault="007C6471" w:rsidP="007C6471">
      <w:pPr>
        <w:pStyle w:val="Affiliation"/>
        <w:rPr>
          <w:vertAlign w:val="superscript"/>
          <w:lang w:val="en-US"/>
        </w:rPr>
      </w:pPr>
      <w:r>
        <w:rPr>
          <w:vertAlign w:val="superscript"/>
          <w:lang w:val="en-US"/>
        </w:rPr>
        <w:t>1</w:t>
      </w:r>
      <w:r w:rsidRPr="002D106B">
        <w:rPr>
          <w:vertAlign w:val="superscript"/>
          <w:lang w:val="en-US"/>
        </w:rPr>
        <w:t xml:space="preserve"> </w:t>
      </w:r>
      <w:bookmarkStart w:id="0" w:name="OLE_LINK17"/>
      <w:bookmarkStart w:id="1" w:name="OLE_LINK18"/>
      <w:r w:rsidRPr="002D106B">
        <w:rPr>
          <w:lang w:val="en-US"/>
        </w:rPr>
        <w:t>Key Laboratory of Ocean Observation and Forecasting &amp; Laboratory of Ocean Circulation and Waves, Institute of Oceanology, Chinese Academy of Sciences, Qingdao</w:t>
      </w:r>
      <w:r w:rsidRPr="002D106B">
        <w:rPr>
          <w:rFonts w:hint="eastAsia"/>
          <w:lang w:val="en-US"/>
        </w:rPr>
        <w:t xml:space="preserve">, </w:t>
      </w:r>
      <w:r w:rsidRPr="002D106B">
        <w:rPr>
          <w:lang w:val="en-US"/>
        </w:rPr>
        <w:t>266071, China</w:t>
      </w:r>
      <w:bookmarkEnd w:id="0"/>
      <w:bookmarkEnd w:id="1"/>
    </w:p>
    <w:p w14:paraId="65851156" w14:textId="77777777" w:rsidR="007C6471" w:rsidRPr="002D106B" w:rsidRDefault="007C6471" w:rsidP="007C6471">
      <w:pPr>
        <w:pStyle w:val="Affiliation"/>
        <w:rPr>
          <w:lang w:val="en-US"/>
        </w:rPr>
      </w:pPr>
      <w:r>
        <w:rPr>
          <w:vertAlign w:val="superscript"/>
          <w:lang w:val="en-US"/>
        </w:rPr>
        <w:t>2</w:t>
      </w:r>
      <w:r w:rsidRPr="002D106B">
        <w:rPr>
          <w:vertAlign w:val="superscript"/>
          <w:lang w:val="en-US"/>
        </w:rPr>
        <w:t xml:space="preserve"> </w:t>
      </w:r>
      <w:r w:rsidRPr="002D106B">
        <w:rPr>
          <w:lang w:val="en-US"/>
        </w:rPr>
        <w:t>Laboratory for Ocean Dynamics and Climate, Qingdao Marine Science and Technology Center, Qingdao</w:t>
      </w:r>
      <w:r w:rsidRPr="002D106B">
        <w:rPr>
          <w:rFonts w:hint="eastAsia"/>
          <w:lang w:val="en-US"/>
        </w:rPr>
        <w:t xml:space="preserve">, </w:t>
      </w:r>
      <w:r w:rsidRPr="002D106B">
        <w:rPr>
          <w:lang w:val="en-US"/>
        </w:rPr>
        <w:t>266071, China</w:t>
      </w:r>
    </w:p>
    <w:p w14:paraId="3CF6F4CC" w14:textId="77777777" w:rsidR="007C6471" w:rsidRPr="002D106B" w:rsidRDefault="007C6471" w:rsidP="007C6471">
      <w:pPr>
        <w:pStyle w:val="Affiliation"/>
        <w:rPr>
          <w:lang w:val="en-US"/>
        </w:rPr>
      </w:pPr>
      <w:r>
        <w:rPr>
          <w:vertAlign w:val="superscript"/>
          <w:lang w:val="en-US"/>
        </w:rPr>
        <w:t>3</w:t>
      </w:r>
      <w:r w:rsidRPr="002D106B">
        <w:rPr>
          <w:vertAlign w:val="superscript"/>
          <w:lang w:val="en-US"/>
        </w:rPr>
        <w:t xml:space="preserve"> </w:t>
      </w:r>
      <w:r w:rsidRPr="002D106B">
        <w:rPr>
          <w:rFonts w:hint="eastAsia"/>
          <w:lang w:val="en-US"/>
        </w:rPr>
        <w:t>College of Marine Sciences, U</w:t>
      </w:r>
      <w:r w:rsidRPr="002D106B">
        <w:rPr>
          <w:lang w:val="en-US"/>
        </w:rPr>
        <w:t>niversity of Chinese Academy of Sciences, Beijing 100049, China</w:t>
      </w:r>
    </w:p>
    <w:p w14:paraId="691A06CE" w14:textId="44E33910" w:rsidR="007C6471" w:rsidRPr="009B35E2" w:rsidRDefault="007C6471" w:rsidP="007C6471">
      <w:pPr>
        <w:pStyle w:val="Correspondence"/>
      </w:pPr>
      <w:r w:rsidRPr="000A1B66">
        <w:rPr>
          <w:i/>
        </w:rPr>
        <w:t>Correspondence to</w:t>
      </w:r>
      <w:r>
        <w:t xml:space="preserve">: </w:t>
      </w:r>
      <w:r w:rsidRPr="002A69BD">
        <w:rPr>
          <w:bCs/>
          <w:noProof/>
          <w:sz w:val="22"/>
          <w:szCs w:val="21"/>
        </w:rPr>
        <w:t>Zifei C</w:t>
      </w:r>
      <w:r w:rsidRPr="009B35E2">
        <w:rPr>
          <w:bCs/>
          <w:noProof/>
          <w:sz w:val="22"/>
          <w:szCs w:val="21"/>
        </w:rPr>
        <w:t>hen</w:t>
      </w:r>
      <w:r w:rsidRPr="009B35E2">
        <w:t xml:space="preserve"> (</w:t>
      </w:r>
      <w:r w:rsidR="00EF1897" w:rsidRPr="009B35E2">
        <w:rPr>
          <w:rStyle w:val="a7"/>
          <w:color w:val="auto"/>
        </w:rPr>
        <w:t>chenzifei@qdio.ac.cn</w:t>
      </w:r>
      <w:r w:rsidRPr="009B35E2">
        <w:t>)</w:t>
      </w:r>
      <w:r w:rsidRPr="009B35E2">
        <w:rPr>
          <w:rFonts w:ascii="宋体" w:eastAsia="宋体" w:hAnsi="宋体" w:cs="宋体" w:hint="eastAsia"/>
          <w:lang w:eastAsia="zh-CN"/>
        </w:rPr>
        <w:t>,</w:t>
      </w:r>
      <w:r w:rsidRPr="009B35E2">
        <w:rPr>
          <w:rFonts w:ascii="宋体" w:eastAsia="宋体" w:hAnsi="宋体" w:cs="宋体"/>
          <w:lang w:eastAsia="zh-CN"/>
        </w:rPr>
        <w:t xml:space="preserve"> </w:t>
      </w:r>
      <w:r w:rsidRPr="009B35E2">
        <w:rPr>
          <w:bCs/>
          <w:noProof/>
          <w:sz w:val="22"/>
          <w:szCs w:val="21"/>
        </w:rPr>
        <w:t>Fei Yu (</w:t>
      </w:r>
      <w:r w:rsidRPr="009B35E2">
        <w:rPr>
          <w:rStyle w:val="a7"/>
          <w:color w:val="auto"/>
        </w:rPr>
        <w:t>yuf@qdio.ac.cn</w:t>
      </w:r>
      <w:r w:rsidRPr="009B35E2">
        <w:rPr>
          <w:bCs/>
          <w:noProof/>
          <w:sz w:val="22"/>
          <w:szCs w:val="21"/>
        </w:rPr>
        <w:t>)</w:t>
      </w:r>
    </w:p>
    <w:p w14:paraId="2683FEBB" w14:textId="77777777" w:rsidR="007C6471" w:rsidRPr="0068628C" w:rsidRDefault="007C6471" w:rsidP="007C6471">
      <w:pPr>
        <w:pStyle w:val="1"/>
      </w:pPr>
      <w:bookmarkStart w:id="2" w:name="OLE_LINK1"/>
      <w:r>
        <w:rPr>
          <w:rFonts w:hint="eastAsia"/>
        </w:rPr>
        <w:t>Text</w:t>
      </w:r>
      <w:r w:rsidRPr="0068628C">
        <w:t xml:space="preserve"> S1</w:t>
      </w:r>
      <w:bookmarkEnd w:id="2"/>
    </w:p>
    <w:p w14:paraId="30D00302" w14:textId="1508AE6E" w:rsidR="007C6471" w:rsidRPr="0068628C" w:rsidRDefault="007C6471" w:rsidP="007C6471">
      <w:pPr>
        <w:rPr>
          <w:b/>
        </w:rPr>
      </w:pPr>
      <w:r w:rsidRPr="008F4E42">
        <w:t>Data comparison</w:t>
      </w:r>
      <w:r w:rsidRPr="008F4E42">
        <w:rPr>
          <w:rFonts w:hint="eastAsia"/>
        </w:rPr>
        <w:t>s</w:t>
      </w:r>
      <w:r w:rsidRPr="008F4E42">
        <w:t xml:space="preserve"> between the CPLDA </w:t>
      </w:r>
      <w:r>
        <w:rPr>
          <w:rFonts w:hint="eastAsia"/>
        </w:rPr>
        <w:t>re</w:t>
      </w:r>
      <w:bookmarkStart w:id="3" w:name="_GoBack"/>
      <w:bookmarkEnd w:id="3"/>
      <w:r>
        <w:rPr>
          <w:rFonts w:hint="eastAsia"/>
        </w:rPr>
        <w:t xml:space="preserve">analysis product </w:t>
      </w:r>
      <w:r w:rsidRPr="008F4E42">
        <w:t>and the subsurface mooring</w:t>
      </w:r>
      <w:r>
        <w:rPr>
          <w:rFonts w:hint="eastAsia"/>
        </w:rPr>
        <w:t xml:space="preserve"> observations</w:t>
      </w:r>
      <w:r w:rsidRPr="008F4E42">
        <w:t xml:space="preserve"> are </w:t>
      </w:r>
      <w:r>
        <w:rPr>
          <w:rFonts w:hint="eastAsia"/>
        </w:rPr>
        <w:t>shown in Fig</w:t>
      </w:r>
      <w:r>
        <w:t>.</w:t>
      </w:r>
      <w:r>
        <w:rPr>
          <w:rFonts w:hint="eastAsia"/>
        </w:rPr>
        <w:t xml:space="preserve"> S1</w:t>
      </w:r>
      <w:r w:rsidRPr="008F4E42">
        <w:t xml:space="preserve">. </w:t>
      </w:r>
      <w:r>
        <w:rPr>
          <w:rFonts w:hint="eastAsia"/>
        </w:rPr>
        <w:t>The results suggest</w:t>
      </w:r>
      <w:r w:rsidRPr="008F4E42">
        <w:t xml:space="preserve"> that the </w:t>
      </w:r>
      <w:r>
        <w:rPr>
          <w:rFonts w:hint="eastAsia"/>
        </w:rPr>
        <w:t>reanalysis data</w:t>
      </w:r>
      <w:r w:rsidRPr="008F4E42">
        <w:t xml:space="preserve"> and observations have nearly the same patterns</w:t>
      </w:r>
      <w:r>
        <w:rPr>
          <w:rFonts w:hint="eastAsia"/>
        </w:rPr>
        <w:t xml:space="preserve"> in mean flows</w:t>
      </w:r>
      <w:r w:rsidR="00E97766">
        <w:t>,</w:t>
      </w:r>
      <w:r>
        <w:rPr>
          <w:rFonts w:hint="eastAsia"/>
        </w:rPr>
        <w:t xml:space="preserve"> </w:t>
      </w:r>
      <w:r>
        <w:t>p</w:t>
      </w:r>
      <w:r>
        <w:rPr>
          <w:rFonts w:hint="eastAsia"/>
        </w:rPr>
        <w:t>otential density</w:t>
      </w:r>
      <w:r w:rsidR="00BD02A3">
        <w:t>, and squared buoyancy frequency</w:t>
      </w:r>
      <w:r w:rsidRPr="008F4E42">
        <w:t xml:space="preserve">. Therefore, the CPLDA data </w:t>
      </w:r>
      <w:r>
        <w:rPr>
          <w:rFonts w:hint="eastAsia"/>
        </w:rPr>
        <w:t xml:space="preserve">can be used to </w:t>
      </w:r>
      <w:proofErr w:type="spellStart"/>
      <w:r w:rsidR="00B6060C">
        <w:t>analyze</w:t>
      </w:r>
      <w:proofErr w:type="spellEnd"/>
      <w:r w:rsidRPr="008F4E42">
        <w:t xml:space="preserve"> the </w:t>
      </w:r>
      <w:r>
        <w:rPr>
          <w:rFonts w:hint="eastAsia"/>
        </w:rPr>
        <w:t>variation</w:t>
      </w:r>
      <w:r w:rsidRPr="008F4E42">
        <w:t xml:space="preserve"> of stratification</w:t>
      </w:r>
      <w:r w:rsidR="007D531B">
        <w:t xml:space="preserve"> and </w:t>
      </w:r>
      <w:r>
        <w:t>background</w:t>
      </w:r>
      <w:r>
        <w:rPr>
          <w:rFonts w:hint="eastAsia"/>
        </w:rPr>
        <w:t xml:space="preserve"> velocities in this study</w:t>
      </w:r>
      <w:r w:rsidRPr="008F4E42">
        <w:t>.</w:t>
      </w:r>
    </w:p>
    <w:p w14:paraId="37102A9C" w14:textId="039D3EFF" w:rsidR="007C6471" w:rsidRPr="004363CC" w:rsidRDefault="00061C61" w:rsidP="007C6471">
      <w:pPr>
        <w:jc w:val="center"/>
      </w:pPr>
      <w:r w:rsidRPr="004363CC">
        <w:rPr>
          <w:noProof/>
        </w:rPr>
        <w:lastRenderedPageBreak/>
        <w:drawing>
          <wp:inline distT="0" distB="0" distL="0" distR="0" wp14:anchorId="22F71DE9" wp14:editId="47A11C76">
            <wp:extent cx="4320000" cy="6806448"/>
            <wp:effectExtent l="0" t="0" r="444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6806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A14A62" w14:textId="1E2DBF63" w:rsidR="007C6471" w:rsidRPr="004363CC" w:rsidRDefault="00553705" w:rsidP="007C6471">
      <w:r w:rsidRPr="004363CC">
        <w:rPr>
          <w:b/>
          <w:bCs/>
          <w:sz w:val="18"/>
          <w:szCs w:val="18"/>
        </w:rPr>
        <w:t>Figure S1. Comparison of background horizontal velocity (</w:t>
      </w:r>
      <w:r w:rsidRPr="004363CC">
        <w:rPr>
          <w:b/>
          <w:bCs/>
          <w:i/>
          <w:sz w:val="18"/>
          <w:szCs w:val="18"/>
        </w:rPr>
        <w:t>V</w:t>
      </w:r>
      <w:r w:rsidRPr="004363CC">
        <w:rPr>
          <w:b/>
          <w:bCs/>
          <w:sz w:val="18"/>
          <w:szCs w:val="18"/>
        </w:rPr>
        <w:t>), potential density (</w:t>
      </w:r>
      <w:r w:rsidRPr="004363CC">
        <w:rPr>
          <w:b/>
          <w:bCs/>
          <w:i/>
          <w:sz w:val="18"/>
          <w:szCs w:val="18"/>
        </w:rPr>
        <w:t>ρ</w:t>
      </w:r>
      <w:r w:rsidRPr="004363CC">
        <w:rPr>
          <w:b/>
          <w:bCs/>
          <w:sz w:val="18"/>
          <w:szCs w:val="18"/>
        </w:rPr>
        <w:t>), and squared buoyancy frequency (</w:t>
      </w:r>
      <w:r w:rsidRPr="004363CC">
        <w:rPr>
          <w:b/>
          <w:bCs/>
          <w:i/>
          <w:sz w:val="18"/>
          <w:szCs w:val="18"/>
        </w:rPr>
        <w:t>N</w:t>
      </w:r>
      <w:r w:rsidRPr="004363CC">
        <w:rPr>
          <w:b/>
          <w:bCs/>
          <w:i/>
          <w:sz w:val="18"/>
          <w:szCs w:val="18"/>
          <w:vertAlign w:val="superscript"/>
        </w:rPr>
        <w:t>2</w:t>
      </w:r>
      <w:r w:rsidRPr="004363CC">
        <w:rPr>
          <w:b/>
          <w:bCs/>
          <w:sz w:val="18"/>
          <w:szCs w:val="18"/>
        </w:rPr>
        <w:t xml:space="preserve">) between the reanalysis product and subsurface mooring observations from 1 November 2017 to 28 February 2018. (a, b) The meridional velocity from the reanalysis product and observations, respectively. (c, d) and (e, f) The same as (a, b), but for </w:t>
      </w:r>
      <w:r w:rsidRPr="004363CC">
        <w:rPr>
          <w:b/>
          <w:bCs/>
          <w:i/>
          <w:sz w:val="18"/>
          <w:szCs w:val="18"/>
        </w:rPr>
        <w:t>ρ</w:t>
      </w:r>
      <w:r w:rsidRPr="004363CC">
        <w:rPr>
          <w:b/>
          <w:bCs/>
          <w:sz w:val="18"/>
          <w:szCs w:val="18"/>
        </w:rPr>
        <w:t xml:space="preserve"> and </w:t>
      </w:r>
      <w:r w:rsidRPr="004363CC">
        <w:rPr>
          <w:b/>
          <w:bCs/>
          <w:i/>
          <w:sz w:val="18"/>
          <w:szCs w:val="18"/>
        </w:rPr>
        <w:t>N</w:t>
      </w:r>
      <w:r w:rsidRPr="004363CC">
        <w:rPr>
          <w:b/>
          <w:bCs/>
          <w:i/>
          <w:sz w:val="18"/>
          <w:szCs w:val="18"/>
          <w:vertAlign w:val="superscript"/>
        </w:rPr>
        <w:t>2</w:t>
      </w:r>
      <w:r w:rsidR="003770E2" w:rsidRPr="004363CC">
        <w:rPr>
          <w:b/>
          <w:bCs/>
          <w:sz w:val="18"/>
          <w:szCs w:val="18"/>
        </w:rPr>
        <w:t>.</w:t>
      </w:r>
    </w:p>
    <w:p w14:paraId="66630693" w14:textId="5D71C3E4" w:rsidR="001763CC" w:rsidRPr="004363CC" w:rsidRDefault="001763CC" w:rsidP="001763CC">
      <w:pPr>
        <w:pStyle w:val="1"/>
        <w:rPr>
          <w:color w:val="auto"/>
        </w:rPr>
      </w:pPr>
      <w:r w:rsidRPr="004363CC">
        <w:rPr>
          <w:rFonts w:hint="eastAsia"/>
          <w:color w:val="auto"/>
        </w:rPr>
        <w:lastRenderedPageBreak/>
        <w:t>Text</w:t>
      </w:r>
      <w:r w:rsidRPr="004363CC">
        <w:rPr>
          <w:color w:val="auto"/>
        </w:rPr>
        <w:t xml:space="preserve"> S2</w:t>
      </w:r>
    </w:p>
    <w:p w14:paraId="0266BCC7" w14:textId="528B7E1A" w:rsidR="00BB3F58" w:rsidRPr="004363CC" w:rsidRDefault="002E6910">
      <w:r w:rsidRPr="004363CC">
        <w:t>Figure S2 compares the near-inertial zonal velocity (</w:t>
      </w:r>
      <m:oMath>
        <m:sSub>
          <m:sSubPr>
            <m:ctrlPr>
              <w:rPr>
                <w:rFonts w:ascii="Cambria Math" w:eastAsia="宋体" w:hAnsi="Cambria Math"/>
                <w:i/>
                <w:sz w:val="18"/>
                <w:szCs w:val="18"/>
              </w:rPr>
            </m:ctrlPr>
          </m:sSubPr>
          <m:e>
            <m:r>
              <w:rPr>
                <w:rFonts w:ascii="Cambria Math" w:eastAsia="宋体" w:hAnsi="Cambria Math"/>
                <w:sz w:val="18"/>
                <w:szCs w:val="18"/>
              </w:rPr>
              <m:t>u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sz w:val="18"/>
                <w:szCs w:val="18"/>
              </w:rPr>
              <m:t>ni</m:t>
            </m:r>
          </m:sub>
        </m:sSub>
      </m:oMath>
      <w:r w:rsidRPr="004363CC">
        <w:rPr>
          <w:rStyle w:val="vlist-s"/>
        </w:rPr>
        <w:t>​</w:t>
      </w:r>
      <w:r w:rsidRPr="004363CC">
        <w:t xml:space="preserve">) derived from the slab model with the </w:t>
      </w:r>
      <m:oMath>
        <m:sSub>
          <m:sSubPr>
            <m:ctrlPr>
              <w:rPr>
                <w:rFonts w:ascii="Cambria Math" w:eastAsia="宋体" w:hAnsi="Cambria Math"/>
                <w:i/>
                <w:sz w:val="18"/>
                <w:szCs w:val="18"/>
              </w:rPr>
            </m:ctrlPr>
          </m:sSubPr>
          <m:e>
            <m:r>
              <w:rPr>
                <w:rFonts w:ascii="Cambria Math" w:eastAsia="宋体" w:hAnsi="Cambria Math"/>
                <w:sz w:val="18"/>
                <w:szCs w:val="18"/>
              </w:rPr>
              <m:t>u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sz w:val="18"/>
                <w:szCs w:val="18"/>
              </w:rPr>
              <m:t>ni</m:t>
            </m:r>
          </m:sub>
        </m:sSub>
      </m:oMath>
      <w:r w:rsidRPr="004363CC">
        <w:rPr>
          <w:rStyle w:val="vlist-s"/>
        </w:rPr>
        <w:t>​</w:t>
      </w:r>
      <w:r w:rsidRPr="004363CC">
        <w:t xml:space="preserve"> from the mooring observations during WS1 and WS2. </w:t>
      </w:r>
      <w:r w:rsidR="0030798F" w:rsidRPr="004363CC">
        <w:t xml:space="preserve">Because direct current observations were not available within the mixed layer, the observed near-inertial velocity at 50 m depth was used for comparison with the slab model derived velocity. </w:t>
      </w:r>
      <w:r w:rsidR="00874AAB" w:rsidRPr="004363CC">
        <w:t>The comparison results show that the near-inertial velocities obtained from the slab model are essentially consistent with the observed results in amplitude and phase.</w:t>
      </w:r>
      <w:r w:rsidR="00EE6B03" w:rsidRPr="004363CC">
        <w:t xml:space="preserve"> </w:t>
      </w:r>
    </w:p>
    <w:p w14:paraId="183DF26F" w14:textId="0BB50307" w:rsidR="00BB3F58" w:rsidRPr="004363CC" w:rsidRDefault="000F2CA8" w:rsidP="0004662F">
      <w:pPr>
        <w:jc w:val="center"/>
      </w:pPr>
      <w:r w:rsidRPr="004363CC">
        <w:rPr>
          <w:noProof/>
        </w:rPr>
        <w:drawing>
          <wp:inline distT="0" distB="0" distL="0" distR="0" wp14:anchorId="60E1912F" wp14:editId="1FC60B87">
            <wp:extent cx="5401310" cy="2725420"/>
            <wp:effectExtent l="0" t="0" r="889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1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BD673C" w14:textId="2A54BDBA" w:rsidR="00BB3F58" w:rsidRPr="004363CC" w:rsidRDefault="00BB3F58" w:rsidP="00A6086D">
      <w:pPr>
        <w:rPr>
          <w:b/>
          <w:bCs/>
          <w:sz w:val="18"/>
          <w:szCs w:val="18"/>
        </w:rPr>
      </w:pPr>
      <w:r w:rsidRPr="004363CC">
        <w:rPr>
          <w:b/>
          <w:bCs/>
          <w:sz w:val="18"/>
          <w:szCs w:val="18"/>
        </w:rPr>
        <w:t xml:space="preserve">Figure S2.  </w:t>
      </w:r>
      <w:r w:rsidR="001757A8" w:rsidRPr="004363CC">
        <w:rPr>
          <w:b/>
          <w:bCs/>
          <w:sz w:val="18"/>
          <w:szCs w:val="18"/>
        </w:rPr>
        <w:t>Comparison of the near-inertial zonal velocity (</w:t>
      </w:r>
      <m:oMath>
        <m:sSub>
          <m:sSubPr>
            <m:ctrlPr>
              <w:rPr>
                <w:rFonts w:ascii="Cambria Math" w:eastAsia="宋体" w:hAnsi="Cambria Math"/>
                <w:i/>
                <w:sz w:val="18"/>
                <w:szCs w:val="18"/>
              </w:rPr>
            </m:ctrlPr>
          </m:sSubPr>
          <m:e>
            <m:r>
              <w:rPr>
                <w:rFonts w:ascii="Cambria Math" w:eastAsia="宋体" w:hAnsi="Cambria Math"/>
                <w:sz w:val="18"/>
                <w:szCs w:val="18"/>
              </w:rPr>
              <m:t>u</m:t>
            </m:r>
          </m:e>
          <m:sub>
            <m:r>
              <m:rPr>
                <m:sty m:val="p"/>
              </m:rPr>
              <w:rPr>
                <w:rFonts w:ascii="Cambria Math" w:eastAsia="宋体" w:hAnsi="Cambria Math"/>
                <w:sz w:val="18"/>
                <w:szCs w:val="18"/>
              </w:rPr>
              <m:t>ni</m:t>
            </m:r>
          </m:sub>
        </m:sSub>
      </m:oMath>
      <w:r w:rsidR="001757A8" w:rsidRPr="004363CC">
        <w:rPr>
          <w:b/>
          <w:bCs/>
          <w:sz w:val="18"/>
          <w:szCs w:val="18"/>
        </w:rPr>
        <w:t xml:space="preserve">) derived from the slab model (blue lines) and the observational </w:t>
      </w:r>
      <m:oMath>
        <m:sSub>
          <m:sSubPr>
            <m:ctrlPr>
              <w:rPr>
                <w:rFonts w:ascii="Cambria Math" w:hAnsi="Cambria Math"/>
                <w:b/>
                <w:bCs/>
                <w:sz w:val="18"/>
                <w:szCs w:val="18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18"/>
                <w:szCs w:val="18"/>
              </w:rPr>
              <m:t>u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18"/>
                <w:szCs w:val="18"/>
              </w:rPr>
              <m:t>ni</m:t>
            </m:r>
          </m:sub>
        </m:sSub>
      </m:oMath>
      <w:r w:rsidR="001757A8" w:rsidRPr="004363CC">
        <w:rPr>
          <w:b/>
          <w:bCs/>
          <w:sz w:val="18"/>
          <w:szCs w:val="18"/>
        </w:rPr>
        <w:t xml:space="preserve"> (red lines)</w:t>
      </w:r>
      <w:r w:rsidR="00B44666" w:rsidRPr="004363CC">
        <w:rPr>
          <w:b/>
          <w:bCs/>
          <w:sz w:val="18"/>
          <w:szCs w:val="18"/>
        </w:rPr>
        <w:t xml:space="preserve"> at the depth of 50 m</w:t>
      </w:r>
      <w:r w:rsidR="001757A8" w:rsidRPr="004363CC">
        <w:rPr>
          <w:b/>
          <w:bCs/>
          <w:sz w:val="18"/>
          <w:szCs w:val="18"/>
        </w:rPr>
        <w:t xml:space="preserve"> during WS1 (a) and WS2 (b).</w:t>
      </w:r>
    </w:p>
    <w:p w14:paraId="2E6DF1E7" w14:textId="7159D960" w:rsidR="00B905BC" w:rsidRPr="00A926EB" w:rsidRDefault="00B905BC" w:rsidP="00B905BC">
      <w:pPr>
        <w:pStyle w:val="1"/>
        <w:rPr>
          <w:color w:val="0000FF"/>
        </w:rPr>
      </w:pPr>
      <w:r w:rsidRPr="00A926EB">
        <w:rPr>
          <w:rFonts w:hint="eastAsia"/>
          <w:color w:val="0000FF"/>
        </w:rPr>
        <w:t>Text</w:t>
      </w:r>
      <w:r w:rsidRPr="00A926EB">
        <w:rPr>
          <w:color w:val="0000FF"/>
        </w:rPr>
        <w:t xml:space="preserve"> S3</w:t>
      </w:r>
    </w:p>
    <w:p w14:paraId="5EF21993" w14:textId="27DDB17E" w:rsidR="00A926EB" w:rsidRDefault="00A926EB" w:rsidP="00A926EB">
      <w:pPr>
        <w:rPr>
          <w:rFonts w:eastAsiaTheme="minorEastAsia"/>
          <w:color w:val="0000FF"/>
          <w:lang w:eastAsia="zh-CN"/>
        </w:rPr>
      </w:pPr>
      <w:r>
        <w:rPr>
          <w:rFonts w:eastAsiaTheme="minorEastAsia" w:hint="eastAsia"/>
          <w:color w:val="0000FF"/>
          <w:lang w:eastAsia="zh-CN"/>
        </w:rPr>
        <w:t>T</w:t>
      </w:r>
      <w:r>
        <w:rPr>
          <w:rFonts w:eastAsiaTheme="minorEastAsia"/>
          <w:color w:val="0000FF"/>
          <w:lang w:eastAsia="zh-CN"/>
        </w:rPr>
        <w:t xml:space="preserve">o evaluate the robustness of the diagnosed energy transfer rate </w:t>
      </w:r>
      <w:r w:rsidRPr="00A926EB">
        <w:rPr>
          <w:rFonts w:eastAsiaTheme="minorEastAsia"/>
          <w:i/>
          <w:color w:val="0000FF"/>
          <w:lang w:eastAsia="zh-CN"/>
        </w:rPr>
        <w:t>P</w:t>
      </w:r>
      <w:r w:rsidRPr="00A926EB">
        <w:rPr>
          <w:rFonts w:eastAsiaTheme="minorEastAsia"/>
          <w:color w:val="0000FF"/>
          <w:lang w:eastAsia="zh-CN"/>
        </w:rPr>
        <w:t>,</w:t>
      </w:r>
      <w:r>
        <w:rPr>
          <w:rFonts w:eastAsiaTheme="minorEastAsia"/>
          <w:color w:val="0000FF"/>
          <w:lang w:eastAsia="zh-CN"/>
        </w:rPr>
        <w:t xml:space="preserve"> sensitivity</w:t>
      </w:r>
      <w:r w:rsidR="005766DB">
        <w:rPr>
          <w:rFonts w:eastAsiaTheme="minorEastAsia"/>
          <w:color w:val="0000FF"/>
          <w:lang w:eastAsia="zh-CN"/>
        </w:rPr>
        <w:t xml:space="preserve"> experiments</w:t>
      </w:r>
      <w:r w:rsidR="00720263">
        <w:rPr>
          <w:rFonts w:eastAsiaTheme="minorEastAsia"/>
          <w:color w:val="0000FF"/>
          <w:lang w:eastAsia="zh-CN"/>
        </w:rPr>
        <w:t xml:space="preserve"> were conducted using different temporal low-pass windows for the background velocity fields and different averaging windows for the near-inertial velocity terms. The background-flow low-pass window was varied among 3, 5, and 7 days, while the averaging window was varied among 2, 3, and 4 inertial periods. The resulting </w:t>
      </w:r>
      <w:r w:rsidR="00720263" w:rsidRPr="00A926EB">
        <w:rPr>
          <w:rFonts w:eastAsiaTheme="minorEastAsia"/>
          <w:i/>
          <w:color w:val="0000FF"/>
          <w:lang w:eastAsia="zh-CN"/>
        </w:rPr>
        <w:t>P</w:t>
      </w:r>
      <w:r w:rsidR="00720263">
        <w:rPr>
          <w:rFonts w:eastAsiaTheme="minorEastAsia"/>
          <w:color w:val="0000FF"/>
          <w:lang w:eastAsia="zh-CN"/>
        </w:rPr>
        <w:t xml:space="preserve"> times series are shown in Fig. S3. Although the averaging window slightly effects the magnitude of </w:t>
      </w:r>
      <w:r w:rsidR="00720263" w:rsidRPr="00720263">
        <w:rPr>
          <w:rFonts w:eastAsiaTheme="minorEastAsia"/>
          <w:i/>
          <w:color w:val="0000FF"/>
          <w:lang w:eastAsia="zh-CN"/>
        </w:rPr>
        <w:t>P</w:t>
      </w:r>
      <w:r w:rsidR="00720263">
        <w:rPr>
          <w:rFonts w:eastAsiaTheme="minorEastAsia"/>
          <w:color w:val="0000FF"/>
          <w:lang w:eastAsia="zh-CN"/>
        </w:rPr>
        <w:t>, the main temporal evolution and contrasting signs during WS1 and WS2 remain unchanged.</w:t>
      </w:r>
    </w:p>
    <w:p w14:paraId="63C0520A" w14:textId="1C8CC1C3" w:rsidR="00B905BC" w:rsidRPr="004363CC" w:rsidRDefault="00B905BC" w:rsidP="00B905BC">
      <w:pPr>
        <w:jc w:val="center"/>
        <w:rPr>
          <w:color w:val="0000FF"/>
        </w:rPr>
      </w:pPr>
      <w:r w:rsidRPr="004363CC">
        <w:rPr>
          <w:noProof/>
          <w:color w:val="0000FF"/>
        </w:rPr>
        <w:lastRenderedPageBreak/>
        <w:drawing>
          <wp:inline distT="0" distB="0" distL="0" distR="0" wp14:anchorId="11B5F55A" wp14:editId="0C9226D6">
            <wp:extent cx="5040000" cy="3101812"/>
            <wp:effectExtent l="0" t="0" r="825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31018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184257" w14:textId="1449318D" w:rsidR="00B905BC" w:rsidRPr="004363CC" w:rsidRDefault="00B905BC" w:rsidP="00B905BC">
      <w:pPr>
        <w:rPr>
          <w:b/>
          <w:bCs/>
          <w:color w:val="0000FF"/>
          <w:sz w:val="18"/>
          <w:szCs w:val="18"/>
        </w:rPr>
      </w:pPr>
      <w:r w:rsidRPr="004363CC">
        <w:rPr>
          <w:rFonts w:hint="eastAsia"/>
          <w:b/>
          <w:bCs/>
          <w:color w:val="0000FF"/>
          <w:sz w:val="18"/>
          <w:szCs w:val="18"/>
        </w:rPr>
        <w:t>F</w:t>
      </w:r>
      <w:r w:rsidRPr="004363CC">
        <w:rPr>
          <w:b/>
          <w:bCs/>
          <w:color w:val="0000FF"/>
          <w:sz w:val="18"/>
          <w:szCs w:val="18"/>
        </w:rPr>
        <w:t>igure S</w:t>
      </w:r>
      <w:r w:rsidR="00113146">
        <w:rPr>
          <w:b/>
          <w:bCs/>
          <w:color w:val="0000FF"/>
          <w:sz w:val="18"/>
          <w:szCs w:val="18"/>
        </w:rPr>
        <w:t>3</w:t>
      </w:r>
      <w:r w:rsidRPr="004363CC">
        <w:rPr>
          <w:b/>
          <w:bCs/>
          <w:color w:val="0000FF"/>
          <w:sz w:val="18"/>
          <w:szCs w:val="18"/>
        </w:rPr>
        <w:t xml:space="preserve">. (a) </w:t>
      </w:r>
      <w:r w:rsidRPr="00C0692F">
        <w:rPr>
          <w:b/>
          <w:bCs/>
          <w:i/>
          <w:color w:val="0000FF"/>
          <w:sz w:val="18"/>
          <w:szCs w:val="18"/>
        </w:rPr>
        <w:t>P</w:t>
      </w:r>
      <w:r w:rsidRPr="004363CC">
        <w:rPr>
          <w:b/>
          <w:bCs/>
          <w:color w:val="0000FF"/>
          <w:sz w:val="18"/>
          <w:szCs w:val="18"/>
        </w:rPr>
        <w:t xml:space="preserve"> calculated using 3-, 5-, and 7-day temporal low-pass filters for the background horizontal velocity fields. (b) </w:t>
      </w:r>
      <w:r w:rsidRPr="00C0692F">
        <w:rPr>
          <w:b/>
          <w:bCs/>
          <w:i/>
          <w:color w:val="0000FF"/>
          <w:sz w:val="18"/>
          <w:szCs w:val="18"/>
        </w:rPr>
        <w:t>P</w:t>
      </w:r>
      <w:r w:rsidRPr="004363CC">
        <w:rPr>
          <w:b/>
          <w:bCs/>
          <w:color w:val="0000FF"/>
          <w:sz w:val="18"/>
          <w:szCs w:val="18"/>
        </w:rPr>
        <w:t xml:space="preserve"> calculated using averaging windows of 2, 3, and 4 inertial periods. The gr</w:t>
      </w:r>
      <w:r>
        <w:rPr>
          <w:b/>
          <w:bCs/>
          <w:color w:val="0000FF"/>
          <w:sz w:val="18"/>
          <w:szCs w:val="18"/>
        </w:rPr>
        <w:t>e</w:t>
      </w:r>
      <w:r w:rsidRPr="004363CC">
        <w:rPr>
          <w:b/>
          <w:bCs/>
          <w:color w:val="0000FF"/>
          <w:sz w:val="18"/>
          <w:szCs w:val="18"/>
        </w:rPr>
        <w:t>y</w:t>
      </w:r>
      <w:r>
        <w:rPr>
          <w:b/>
          <w:bCs/>
          <w:color w:val="0000FF"/>
          <w:sz w:val="18"/>
          <w:szCs w:val="18"/>
        </w:rPr>
        <w:t xml:space="preserve"> </w:t>
      </w:r>
      <w:r w:rsidRPr="004363CC">
        <w:rPr>
          <w:b/>
          <w:bCs/>
          <w:color w:val="0000FF"/>
          <w:sz w:val="18"/>
          <w:szCs w:val="18"/>
        </w:rPr>
        <w:t>shading indicates the WS1 and WS2 periods.</w:t>
      </w:r>
    </w:p>
    <w:p w14:paraId="1EF539BA" w14:textId="77777777" w:rsidR="00B905BC" w:rsidRPr="00B905BC" w:rsidRDefault="00B905BC" w:rsidP="00B905BC"/>
    <w:p w14:paraId="1C05418E" w14:textId="10B09BA9" w:rsidR="00F65326" w:rsidRPr="004363CC" w:rsidRDefault="004363CC" w:rsidP="004363CC">
      <w:pPr>
        <w:tabs>
          <w:tab w:val="left" w:pos="6098"/>
        </w:tabs>
        <w:rPr>
          <w:rFonts w:eastAsiaTheme="minorEastAsia"/>
          <w:sz w:val="18"/>
          <w:lang w:eastAsia="zh-CN"/>
        </w:rPr>
      </w:pPr>
      <w:r>
        <w:rPr>
          <w:rFonts w:eastAsiaTheme="minorEastAsia"/>
          <w:sz w:val="18"/>
          <w:lang w:eastAsia="zh-CN"/>
        </w:rPr>
        <w:tab/>
      </w:r>
    </w:p>
    <w:sectPr w:rsidR="00F65326" w:rsidRPr="004363CC" w:rsidSect="00F512A5">
      <w:pgSz w:w="11907" w:h="13608"/>
      <w:pgMar w:top="567" w:right="936" w:bottom="1338" w:left="936" w:header="0" w:footer="737" w:gutter="0"/>
      <w:lnNumType w:countBy="5" w:distance="227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1A5BDC4" w14:textId="77777777" w:rsidR="00C406C9" w:rsidRDefault="00C406C9" w:rsidP="007C6471">
      <w:pPr>
        <w:spacing w:line="240" w:lineRule="auto"/>
      </w:pPr>
      <w:r>
        <w:separator/>
      </w:r>
    </w:p>
  </w:endnote>
  <w:endnote w:type="continuationSeparator" w:id="0">
    <w:p w14:paraId="3BFDC9B5" w14:textId="77777777" w:rsidR="00C406C9" w:rsidRDefault="00C406C9" w:rsidP="007C647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E7D696" w14:textId="77777777" w:rsidR="00C406C9" w:rsidRDefault="00C406C9" w:rsidP="007C6471">
      <w:pPr>
        <w:spacing w:line="240" w:lineRule="auto"/>
      </w:pPr>
      <w:r>
        <w:separator/>
      </w:r>
    </w:p>
  </w:footnote>
  <w:footnote w:type="continuationSeparator" w:id="0">
    <w:p w14:paraId="468AB211" w14:textId="77777777" w:rsidR="00C406C9" w:rsidRDefault="00C406C9" w:rsidP="007C6471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4D73"/>
    <w:rsid w:val="000130E8"/>
    <w:rsid w:val="00013505"/>
    <w:rsid w:val="0004662F"/>
    <w:rsid w:val="00060788"/>
    <w:rsid w:val="00061C61"/>
    <w:rsid w:val="0006261E"/>
    <w:rsid w:val="000748D2"/>
    <w:rsid w:val="000B1546"/>
    <w:rsid w:val="000D2FF3"/>
    <w:rsid w:val="000D758B"/>
    <w:rsid w:val="000F2CA8"/>
    <w:rsid w:val="00107396"/>
    <w:rsid w:val="00113146"/>
    <w:rsid w:val="00152F47"/>
    <w:rsid w:val="00155E61"/>
    <w:rsid w:val="001757A8"/>
    <w:rsid w:val="001763CC"/>
    <w:rsid w:val="00180E45"/>
    <w:rsid w:val="001A252D"/>
    <w:rsid w:val="001B2F96"/>
    <w:rsid w:val="001C5AA8"/>
    <w:rsid w:val="001F312B"/>
    <w:rsid w:val="00220199"/>
    <w:rsid w:val="0026776B"/>
    <w:rsid w:val="002915D6"/>
    <w:rsid w:val="002E6910"/>
    <w:rsid w:val="0030798F"/>
    <w:rsid w:val="00326EEC"/>
    <w:rsid w:val="003428ED"/>
    <w:rsid w:val="00360C6C"/>
    <w:rsid w:val="003770E2"/>
    <w:rsid w:val="003813BC"/>
    <w:rsid w:val="003A32C3"/>
    <w:rsid w:val="003A52B7"/>
    <w:rsid w:val="003B3901"/>
    <w:rsid w:val="003D6079"/>
    <w:rsid w:val="00403C76"/>
    <w:rsid w:val="00433F2B"/>
    <w:rsid w:val="004363CC"/>
    <w:rsid w:val="00436D5A"/>
    <w:rsid w:val="00444D73"/>
    <w:rsid w:val="00464580"/>
    <w:rsid w:val="00492382"/>
    <w:rsid w:val="004A4660"/>
    <w:rsid w:val="004E3246"/>
    <w:rsid w:val="004E5BD8"/>
    <w:rsid w:val="004F240A"/>
    <w:rsid w:val="00502264"/>
    <w:rsid w:val="00524E3A"/>
    <w:rsid w:val="00553705"/>
    <w:rsid w:val="00560968"/>
    <w:rsid w:val="005766DB"/>
    <w:rsid w:val="005C1396"/>
    <w:rsid w:val="005D07F3"/>
    <w:rsid w:val="005D5B5F"/>
    <w:rsid w:val="0066277A"/>
    <w:rsid w:val="006A2DD8"/>
    <w:rsid w:val="006B71CA"/>
    <w:rsid w:val="00720263"/>
    <w:rsid w:val="007220A6"/>
    <w:rsid w:val="0075372B"/>
    <w:rsid w:val="00756B82"/>
    <w:rsid w:val="007A2FB7"/>
    <w:rsid w:val="007A5229"/>
    <w:rsid w:val="007C6471"/>
    <w:rsid w:val="007D2BD6"/>
    <w:rsid w:val="007D531B"/>
    <w:rsid w:val="007F3C55"/>
    <w:rsid w:val="008059ED"/>
    <w:rsid w:val="00817E24"/>
    <w:rsid w:val="008334DD"/>
    <w:rsid w:val="008356C3"/>
    <w:rsid w:val="00840A7E"/>
    <w:rsid w:val="00874AAB"/>
    <w:rsid w:val="008D0B5A"/>
    <w:rsid w:val="008F6377"/>
    <w:rsid w:val="00910496"/>
    <w:rsid w:val="0093106D"/>
    <w:rsid w:val="009413F4"/>
    <w:rsid w:val="00942515"/>
    <w:rsid w:val="0095551A"/>
    <w:rsid w:val="00974EFE"/>
    <w:rsid w:val="009A3B54"/>
    <w:rsid w:val="009B3159"/>
    <w:rsid w:val="009B35E2"/>
    <w:rsid w:val="009B3837"/>
    <w:rsid w:val="009C3D9B"/>
    <w:rsid w:val="009E457E"/>
    <w:rsid w:val="009F0DB8"/>
    <w:rsid w:val="00A009AA"/>
    <w:rsid w:val="00A05BAF"/>
    <w:rsid w:val="00A15FC3"/>
    <w:rsid w:val="00A474F7"/>
    <w:rsid w:val="00A6086D"/>
    <w:rsid w:val="00A926EB"/>
    <w:rsid w:val="00AA4EDB"/>
    <w:rsid w:val="00B44666"/>
    <w:rsid w:val="00B53A2F"/>
    <w:rsid w:val="00B6060C"/>
    <w:rsid w:val="00B905BC"/>
    <w:rsid w:val="00BB3F58"/>
    <w:rsid w:val="00BD02A3"/>
    <w:rsid w:val="00C03376"/>
    <w:rsid w:val="00C0692F"/>
    <w:rsid w:val="00C406C9"/>
    <w:rsid w:val="00C47CEB"/>
    <w:rsid w:val="00C64B0C"/>
    <w:rsid w:val="00C81D92"/>
    <w:rsid w:val="00C825DF"/>
    <w:rsid w:val="00CF5FE8"/>
    <w:rsid w:val="00D04538"/>
    <w:rsid w:val="00D05662"/>
    <w:rsid w:val="00D10D29"/>
    <w:rsid w:val="00D421AE"/>
    <w:rsid w:val="00D45A8D"/>
    <w:rsid w:val="00D6388B"/>
    <w:rsid w:val="00DD3F68"/>
    <w:rsid w:val="00DE4AC1"/>
    <w:rsid w:val="00E01A6C"/>
    <w:rsid w:val="00E15598"/>
    <w:rsid w:val="00E37AE1"/>
    <w:rsid w:val="00E449A3"/>
    <w:rsid w:val="00E97766"/>
    <w:rsid w:val="00EB4717"/>
    <w:rsid w:val="00ED055F"/>
    <w:rsid w:val="00ED0E09"/>
    <w:rsid w:val="00EE6B03"/>
    <w:rsid w:val="00EF1897"/>
    <w:rsid w:val="00F05BCE"/>
    <w:rsid w:val="00F530C2"/>
    <w:rsid w:val="00F65326"/>
    <w:rsid w:val="00F67165"/>
    <w:rsid w:val="00F81DAA"/>
    <w:rsid w:val="00F86486"/>
    <w:rsid w:val="00FF4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E0139A8"/>
  <w15:chartTrackingRefBased/>
  <w15:docId w15:val="{4E32D141-80B5-40C7-AE59-FA0AEE1EF8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7C6471"/>
    <w:pPr>
      <w:spacing w:line="360" w:lineRule="auto"/>
      <w:jc w:val="both"/>
    </w:pPr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paragraph" w:styleId="1">
    <w:name w:val="heading 1"/>
    <w:basedOn w:val="a"/>
    <w:next w:val="a"/>
    <w:link w:val="10"/>
    <w:qFormat/>
    <w:rsid w:val="007C6471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C6471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a4">
    <w:name w:val="页眉 字符"/>
    <w:basedOn w:val="a0"/>
    <w:link w:val="a3"/>
    <w:uiPriority w:val="99"/>
    <w:rsid w:val="007C647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C6471"/>
    <w:pPr>
      <w:widowControl w:val="0"/>
      <w:tabs>
        <w:tab w:val="center" w:pos="4153"/>
        <w:tab w:val="right" w:pos="8306"/>
      </w:tabs>
      <w:snapToGrid w:val="0"/>
      <w:spacing w:line="240" w:lineRule="auto"/>
      <w:jc w:val="left"/>
    </w:pPr>
    <w:rPr>
      <w:rFonts w:asciiTheme="minorHAnsi" w:eastAsiaTheme="minorEastAsia" w:hAnsiTheme="minorHAnsi" w:cstheme="minorBidi"/>
      <w:kern w:val="2"/>
      <w:sz w:val="18"/>
      <w:szCs w:val="18"/>
      <w:lang w:val="en-US" w:eastAsia="zh-CN"/>
    </w:rPr>
  </w:style>
  <w:style w:type="character" w:customStyle="1" w:styleId="a6">
    <w:name w:val="页脚 字符"/>
    <w:basedOn w:val="a0"/>
    <w:link w:val="a5"/>
    <w:uiPriority w:val="99"/>
    <w:rsid w:val="007C6471"/>
    <w:rPr>
      <w:sz w:val="18"/>
      <w:szCs w:val="18"/>
    </w:rPr>
  </w:style>
  <w:style w:type="character" w:customStyle="1" w:styleId="10">
    <w:name w:val="标题 1 字符"/>
    <w:basedOn w:val="a0"/>
    <w:link w:val="1"/>
    <w:rsid w:val="007C6471"/>
    <w:rPr>
      <w:rFonts w:ascii="Times New Roman" w:eastAsia="Times New Roman" w:hAnsi="Times New Roman" w:cs="Arial"/>
      <w:b/>
      <w:bCs/>
      <w:color w:val="000000"/>
      <w:kern w:val="32"/>
      <w:sz w:val="20"/>
      <w:szCs w:val="32"/>
      <w:lang w:val="en-GB" w:eastAsia="de-DE"/>
    </w:rPr>
  </w:style>
  <w:style w:type="character" w:styleId="a7">
    <w:name w:val="Hyperlink"/>
    <w:rsid w:val="007C6471"/>
    <w:rPr>
      <w:color w:val="0000FF"/>
      <w:u w:val="single"/>
    </w:rPr>
  </w:style>
  <w:style w:type="paragraph" w:customStyle="1" w:styleId="MStitle">
    <w:name w:val="MS title"/>
    <w:basedOn w:val="a"/>
    <w:link w:val="MStitleChar"/>
    <w:qFormat/>
    <w:rsid w:val="007C6471"/>
    <w:pPr>
      <w:spacing w:before="360" w:line="440" w:lineRule="exact"/>
      <w:contextualSpacing/>
    </w:pPr>
    <w:rPr>
      <w:b/>
      <w:sz w:val="34"/>
    </w:rPr>
  </w:style>
  <w:style w:type="character" w:customStyle="1" w:styleId="MStitleChar">
    <w:name w:val="MS title Char"/>
    <w:basedOn w:val="a0"/>
    <w:link w:val="MStitle"/>
    <w:rsid w:val="007C6471"/>
    <w:rPr>
      <w:rFonts w:ascii="Times New Roman" w:eastAsia="Times New Roman" w:hAnsi="Times New Roman" w:cs="Times New Roman"/>
      <w:b/>
      <w:kern w:val="0"/>
      <w:sz w:val="34"/>
      <w:szCs w:val="24"/>
      <w:lang w:val="en-GB" w:eastAsia="de-DE"/>
    </w:rPr>
  </w:style>
  <w:style w:type="paragraph" w:customStyle="1" w:styleId="Affiliation">
    <w:name w:val="Affiliation"/>
    <w:basedOn w:val="a"/>
    <w:link w:val="AffiliationChar"/>
    <w:qFormat/>
    <w:rsid w:val="007C6471"/>
    <w:pPr>
      <w:spacing w:before="120" w:line="240" w:lineRule="auto"/>
      <w:contextualSpacing/>
    </w:pPr>
  </w:style>
  <w:style w:type="character" w:customStyle="1" w:styleId="AffiliationChar">
    <w:name w:val="Affiliation Char"/>
    <w:basedOn w:val="a0"/>
    <w:link w:val="Affiliation"/>
    <w:rsid w:val="007C6471"/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paragraph" w:styleId="a8">
    <w:name w:val="caption"/>
    <w:basedOn w:val="a"/>
    <w:next w:val="a"/>
    <w:uiPriority w:val="35"/>
    <w:unhideWhenUsed/>
    <w:qFormat/>
    <w:rsid w:val="007C6471"/>
    <w:pPr>
      <w:spacing w:after="200" w:line="240" w:lineRule="auto"/>
    </w:pPr>
    <w:rPr>
      <w:b/>
      <w:bCs/>
      <w:sz w:val="18"/>
      <w:szCs w:val="18"/>
    </w:rPr>
  </w:style>
  <w:style w:type="paragraph" w:customStyle="1" w:styleId="Correspondence">
    <w:name w:val="Correspondence"/>
    <w:basedOn w:val="a"/>
    <w:link w:val="CorrespondenceChar"/>
    <w:qFormat/>
    <w:rsid w:val="007C6471"/>
    <w:pPr>
      <w:spacing w:before="120" w:after="360" w:line="240" w:lineRule="auto"/>
    </w:pPr>
  </w:style>
  <w:style w:type="character" w:customStyle="1" w:styleId="CorrespondenceChar">
    <w:name w:val="Correspondence Char"/>
    <w:basedOn w:val="a0"/>
    <w:link w:val="Correspondence"/>
    <w:rsid w:val="007C6471"/>
    <w:rPr>
      <w:rFonts w:ascii="Times New Roman" w:eastAsia="Times New Roman" w:hAnsi="Times New Roman" w:cs="Times New Roman"/>
      <w:kern w:val="0"/>
      <w:sz w:val="20"/>
      <w:szCs w:val="24"/>
      <w:lang w:val="en-GB" w:eastAsia="de-DE"/>
    </w:rPr>
  </w:style>
  <w:style w:type="paragraph" w:customStyle="1" w:styleId="Authors">
    <w:name w:val="Authors"/>
    <w:basedOn w:val="a"/>
    <w:link w:val="AuthorsChar"/>
    <w:qFormat/>
    <w:rsid w:val="007C6471"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a0"/>
    <w:link w:val="Authors"/>
    <w:rsid w:val="007C6471"/>
    <w:rPr>
      <w:rFonts w:ascii="Times New Roman" w:eastAsia="Times New Roman" w:hAnsi="Times New Roman" w:cs="Times New Roman"/>
      <w:kern w:val="0"/>
      <w:sz w:val="24"/>
      <w:szCs w:val="24"/>
      <w:lang w:val="en-GB" w:eastAsia="de-DE"/>
    </w:rPr>
  </w:style>
  <w:style w:type="character" w:styleId="a9">
    <w:name w:val="line number"/>
    <w:basedOn w:val="a0"/>
    <w:uiPriority w:val="99"/>
    <w:semiHidden/>
    <w:unhideWhenUsed/>
    <w:rsid w:val="007C6471"/>
  </w:style>
  <w:style w:type="character" w:customStyle="1" w:styleId="katex-mathml">
    <w:name w:val="katex-mathml"/>
    <w:basedOn w:val="a0"/>
    <w:rsid w:val="002E6910"/>
  </w:style>
  <w:style w:type="character" w:customStyle="1" w:styleId="mord">
    <w:name w:val="mord"/>
    <w:basedOn w:val="a0"/>
    <w:rsid w:val="002E6910"/>
  </w:style>
  <w:style w:type="character" w:customStyle="1" w:styleId="vlist-s">
    <w:name w:val="vlist-s"/>
    <w:basedOn w:val="a0"/>
    <w:rsid w:val="002E69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3022</TotalTime>
  <Pages>4</Pages>
  <Words>461</Words>
  <Characters>2633</Characters>
  <Application>Microsoft Office Word</Application>
  <DocSecurity>0</DocSecurity>
  <Lines>21</Lines>
  <Paragraphs>6</Paragraphs>
  <ScaleCrop>false</ScaleCrop>
  <Company/>
  <LinksUpToDate>false</LinksUpToDate>
  <CharactersWithSpaces>3088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洪凯 王</dc:creator>
  <cp:keywords/>
  <dc:description/>
  <cp:lastModifiedBy>洪凯 王</cp:lastModifiedBy>
  <cp:revision>117</cp:revision>
  <dcterms:created xsi:type="dcterms:W3CDTF">2026-06-06T07:28:00Z</dcterms:created>
  <dcterms:modified xsi:type="dcterms:W3CDTF">2026-08-12T02:08:00Z</dcterms:modified>
</cp:coreProperties>
</file>